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43" w:rsidRDefault="00913543" w:rsidP="00913543">
      <w:pPr>
        <w:spacing w:line="240" w:lineRule="atLeast"/>
        <w:rPr>
          <w:rFonts w:ascii="仿宋_GB2312" w:eastAsia="仿宋_GB2312" w:hAnsi="宋体"/>
          <w:sz w:val="30"/>
          <w:szCs w:val="30"/>
        </w:rPr>
      </w:pPr>
      <w:r w:rsidRPr="00C5442A">
        <w:rPr>
          <w:rFonts w:ascii="仿宋_GB2312" w:eastAsia="仿宋_GB2312" w:hAnsi="宋体" w:hint="eastAsia"/>
          <w:sz w:val="30"/>
          <w:szCs w:val="30"/>
        </w:rPr>
        <w:t>附件1：</w:t>
      </w:r>
    </w:p>
    <w:p w:rsidR="00913543" w:rsidRPr="00C5442A" w:rsidRDefault="00913543" w:rsidP="00913543">
      <w:pPr>
        <w:spacing w:line="240" w:lineRule="atLeast"/>
        <w:rPr>
          <w:rFonts w:ascii="仿宋_GB2312" w:eastAsia="仿宋_GB2312" w:hAnsi="宋体"/>
          <w:sz w:val="30"/>
          <w:szCs w:val="30"/>
        </w:rPr>
      </w:pPr>
    </w:p>
    <w:p w:rsidR="00913543" w:rsidRPr="00837BB5" w:rsidRDefault="00913543" w:rsidP="00913543">
      <w:pPr>
        <w:spacing w:line="240" w:lineRule="atLeast"/>
        <w:jc w:val="center"/>
        <w:rPr>
          <w:rFonts w:ascii="华文中宋" w:eastAsia="华文中宋" w:hAnsi="华文中宋"/>
          <w:b/>
          <w:sz w:val="36"/>
          <w:szCs w:val="36"/>
        </w:rPr>
      </w:pPr>
      <w:r w:rsidRPr="00837BB5">
        <w:rPr>
          <w:rFonts w:ascii="华文中宋" w:eastAsia="华文中宋" w:hAnsi="华文中宋" w:hint="eastAsia"/>
          <w:spacing w:val="-10"/>
          <w:sz w:val="36"/>
          <w:szCs w:val="36"/>
        </w:rPr>
        <w:t>全国高校学生公寓工作创新成果奖（2017）</w:t>
      </w:r>
      <w:r w:rsidRPr="00837BB5">
        <w:rPr>
          <w:rFonts w:ascii="华文中宋" w:eastAsia="华文中宋" w:hAnsi="华文中宋" w:hint="eastAsia"/>
          <w:sz w:val="36"/>
          <w:szCs w:val="36"/>
        </w:rPr>
        <w:t>选题指南</w:t>
      </w:r>
    </w:p>
    <w:p w:rsidR="00913543" w:rsidRPr="00C5442A" w:rsidRDefault="00913543" w:rsidP="00913543">
      <w:pPr>
        <w:spacing w:line="500" w:lineRule="exact"/>
        <w:rPr>
          <w:rFonts w:ascii="仿宋_GB2312" w:eastAsia="仿宋_GB2312"/>
          <w:sz w:val="30"/>
          <w:szCs w:val="30"/>
        </w:rPr>
      </w:pP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t>体制机制类</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1.基于“创新、协调、绿色、开放、共享”五大发展理念的高校学生公寓改革发展研究</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2.供给侧结构性改革推动高校公寓管理提质增效的思考</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3.深化高校学生公寓领域改革，构建政府、学校、社会新型关系</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4.社会物业企业参与学生公寓服务的准入、监管、退出办法</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5.高校学生公寓“齐抓共管”的制度设计和建设研究</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6.高</w:t>
      </w:r>
      <w:r w:rsidRPr="00C5442A">
        <w:rPr>
          <w:rFonts w:ascii="仿宋_GB2312" w:eastAsia="仿宋_GB2312"/>
          <w:sz w:val="30"/>
          <w:szCs w:val="30"/>
        </w:rPr>
        <w:t>校学生公寓书院制的思考</w:t>
      </w:r>
      <w:r w:rsidRPr="00C5442A">
        <w:rPr>
          <w:rFonts w:ascii="仿宋_GB2312" w:eastAsia="仿宋_GB2312" w:hint="eastAsia"/>
          <w:sz w:val="30"/>
          <w:szCs w:val="30"/>
        </w:rPr>
        <w:t>和实践</w:t>
      </w:r>
      <w:r w:rsidRPr="00C5442A">
        <w:rPr>
          <w:rFonts w:ascii="仿宋_GB2312" w:eastAsia="仿宋_GB2312"/>
          <w:sz w:val="30"/>
          <w:szCs w:val="30"/>
        </w:rPr>
        <w:t>案例</w:t>
      </w:r>
    </w:p>
    <w:p w:rsidR="00913543" w:rsidRPr="00001B8B" w:rsidRDefault="00913543" w:rsidP="00913543">
      <w:pPr>
        <w:spacing w:line="500" w:lineRule="exact"/>
        <w:ind w:firstLineChars="200" w:firstLine="600"/>
        <w:rPr>
          <w:rFonts w:ascii="仿宋_GB2312" w:eastAsia="仿宋_GB2312"/>
          <w:spacing w:val="-4"/>
          <w:sz w:val="30"/>
          <w:szCs w:val="30"/>
        </w:rPr>
      </w:pPr>
      <w:r w:rsidRPr="00C5442A">
        <w:rPr>
          <w:rFonts w:ascii="仿宋_GB2312" w:eastAsia="仿宋_GB2312" w:hint="eastAsia"/>
          <w:sz w:val="30"/>
          <w:szCs w:val="30"/>
        </w:rPr>
        <w:t>7.</w:t>
      </w:r>
      <w:r w:rsidRPr="00001B8B">
        <w:rPr>
          <w:rFonts w:ascii="仿宋_GB2312" w:eastAsia="仿宋_GB2312" w:hint="eastAsia"/>
          <w:spacing w:val="-4"/>
          <w:sz w:val="30"/>
          <w:szCs w:val="30"/>
        </w:rPr>
        <w:t>学生公寓引进社会企业服务（BOT模式）风险防控机制研究</w:t>
      </w: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t>标准化建设类</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8.高校标准化学生公寓建设推进措施和案例研究</w:t>
      </w:r>
    </w:p>
    <w:p w:rsidR="00913543" w:rsidRPr="00001B8B"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9.</w:t>
      </w:r>
      <w:r w:rsidRPr="00001B8B">
        <w:rPr>
          <w:rFonts w:ascii="仿宋_GB2312" w:eastAsia="仿宋_GB2312" w:hint="eastAsia"/>
          <w:sz w:val="30"/>
          <w:szCs w:val="30"/>
        </w:rPr>
        <w:t>高校标准化学生公寓创建指导标准应用实证比较与完善建议</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10.高校学生公寓管理行业规范研究</w:t>
      </w: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t>条件设施类</w:t>
      </w:r>
    </w:p>
    <w:p w:rsidR="00913543" w:rsidRPr="00001B8B" w:rsidRDefault="00913543" w:rsidP="00913543">
      <w:pPr>
        <w:spacing w:line="500" w:lineRule="exact"/>
        <w:ind w:firstLineChars="200" w:firstLine="600"/>
        <w:rPr>
          <w:rFonts w:ascii="仿宋_GB2312" w:eastAsia="仿宋_GB2312"/>
          <w:spacing w:val="-4"/>
          <w:sz w:val="30"/>
          <w:szCs w:val="30"/>
        </w:rPr>
      </w:pPr>
      <w:r w:rsidRPr="00C5442A">
        <w:rPr>
          <w:rFonts w:ascii="仿宋_GB2312" w:eastAsia="仿宋_GB2312" w:hint="eastAsia"/>
          <w:sz w:val="30"/>
          <w:szCs w:val="30"/>
        </w:rPr>
        <w:t>11.</w:t>
      </w:r>
      <w:r w:rsidRPr="00001B8B">
        <w:rPr>
          <w:rFonts w:ascii="仿宋_GB2312" w:eastAsia="仿宋_GB2312" w:hint="eastAsia"/>
          <w:spacing w:val="-4"/>
          <w:sz w:val="30"/>
          <w:szCs w:val="30"/>
        </w:rPr>
        <w:t>建设与“校园小康”相适应的学生公寓“硬件”设施配备</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12.高校学生公寓楼建筑结构与功能区设计及技防设施建设配置</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13.高校学生公寓室内设计与家具式样配备</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14.高校学生公寓区快递解决方案</w:t>
      </w:r>
    </w:p>
    <w:p w:rsidR="00913543"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15.学生公寓安装空调模式与建设性意见</w:t>
      </w:r>
    </w:p>
    <w:p w:rsidR="00913543" w:rsidRPr="00C5442A" w:rsidRDefault="00913543" w:rsidP="00913543">
      <w:pPr>
        <w:spacing w:line="500" w:lineRule="exact"/>
        <w:ind w:firstLineChars="200" w:firstLine="600"/>
        <w:rPr>
          <w:rFonts w:ascii="仿宋_GB2312" w:eastAsia="仿宋_GB2312"/>
          <w:sz w:val="30"/>
          <w:szCs w:val="30"/>
        </w:rPr>
      </w:pP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lastRenderedPageBreak/>
        <w:t>费用成本类</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16.高校学生公寓管理成本形成机制以及住宿费标准动态调整机制政策研究</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17.当前我国高校后勤社会化项目学生公寓服务和管理收费的现状、问题及原因分析</w:t>
      </w: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t>队伍建设类</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18.高校学生公寓管理人员道德规范标准</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19.学生公寓管理人员胜任力测评实践探索</w:t>
      </w: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t>安全管理类</w:t>
      </w:r>
    </w:p>
    <w:p w:rsidR="00913543" w:rsidRPr="00C5442A" w:rsidRDefault="00913543" w:rsidP="00913543">
      <w:pPr>
        <w:spacing w:line="500" w:lineRule="exact"/>
        <w:ind w:firstLine="585"/>
        <w:rPr>
          <w:rFonts w:ascii="仿宋_GB2312" w:eastAsia="仿宋_GB2312"/>
          <w:sz w:val="30"/>
          <w:szCs w:val="30"/>
        </w:rPr>
      </w:pPr>
      <w:r w:rsidRPr="00C5442A">
        <w:rPr>
          <w:rFonts w:ascii="仿宋_GB2312" w:eastAsia="仿宋_GB2312" w:hint="eastAsia"/>
          <w:sz w:val="30"/>
          <w:szCs w:val="30"/>
        </w:rPr>
        <w:t>20.学生公寓安全教育模式与实训体验项目设计</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21.建立以学生体验为中心的学生公寓安全教育模式研究</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22.学生公寓各类安全演练与预案完善研究</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23.高层学生公寓安全管理研究</w:t>
      </w: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t>服务育人与公寓文化类</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24.提升学生公寓的思想教育工作和日常行为管理水平研究</w:t>
      </w:r>
    </w:p>
    <w:p w:rsidR="00913543" w:rsidRPr="00001B8B" w:rsidRDefault="00913543" w:rsidP="00913543">
      <w:pPr>
        <w:spacing w:line="500" w:lineRule="exact"/>
        <w:ind w:firstLineChars="200" w:firstLine="600"/>
        <w:rPr>
          <w:rFonts w:ascii="仿宋_GB2312" w:eastAsia="仿宋_GB2312"/>
          <w:spacing w:val="-4"/>
          <w:sz w:val="30"/>
          <w:szCs w:val="30"/>
        </w:rPr>
      </w:pPr>
      <w:r w:rsidRPr="00C5442A">
        <w:rPr>
          <w:rFonts w:ascii="仿宋_GB2312" w:eastAsia="仿宋_GB2312" w:hint="eastAsia"/>
          <w:sz w:val="30"/>
          <w:szCs w:val="30"/>
        </w:rPr>
        <w:t>25.</w:t>
      </w:r>
      <w:r w:rsidRPr="00001B8B">
        <w:rPr>
          <w:rFonts w:ascii="仿宋_GB2312" w:eastAsia="仿宋_GB2312" w:hint="eastAsia"/>
          <w:spacing w:val="-4"/>
          <w:sz w:val="30"/>
          <w:szCs w:val="30"/>
        </w:rPr>
        <w:t>强化学生公寓育人功能，打造服务育人“第二课堂”研究</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26.构建富有学科和地域特色的学生公寓文化</w:t>
      </w: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t>信息化建设类</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27.学生公寓信息服务平台建设与成功案例</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28.互联网思维与智能学生公寓建设</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29.移动终端设备在学生公寓日常管理中的应用与成功实践案例</w:t>
      </w:r>
    </w:p>
    <w:p w:rsidR="00913543" w:rsidRPr="00C5442A" w:rsidRDefault="00913543" w:rsidP="00913543">
      <w:pPr>
        <w:spacing w:line="500" w:lineRule="exact"/>
        <w:rPr>
          <w:rFonts w:ascii="黑体" w:eastAsia="黑体" w:hAnsi="黑体"/>
          <w:sz w:val="30"/>
          <w:szCs w:val="30"/>
        </w:rPr>
      </w:pPr>
      <w:r w:rsidRPr="00C5442A">
        <w:rPr>
          <w:rFonts w:ascii="黑体" w:eastAsia="黑体" w:hAnsi="黑体" w:hint="eastAsia"/>
          <w:sz w:val="30"/>
          <w:szCs w:val="30"/>
        </w:rPr>
        <w:t>绿化环保节能类</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30.创建节约型绿色公寓的措施途径与评价标准</w:t>
      </w:r>
    </w:p>
    <w:p w:rsidR="00913543" w:rsidRPr="00C5442A" w:rsidRDefault="00913543" w:rsidP="00913543">
      <w:pPr>
        <w:spacing w:line="500" w:lineRule="exact"/>
        <w:ind w:firstLineChars="200" w:firstLine="600"/>
        <w:rPr>
          <w:rFonts w:ascii="仿宋_GB2312" w:eastAsia="仿宋_GB2312"/>
          <w:sz w:val="30"/>
          <w:szCs w:val="30"/>
        </w:rPr>
      </w:pPr>
      <w:r w:rsidRPr="00C5442A">
        <w:rPr>
          <w:rFonts w:ascii="仿宋_GB2312" w:eastAsia="仿宋_GB2312" w:hint="eastAsia"/>
          <w:sz w:val="30"/>
          <w:szCs w:val="30"/>
        </w:rPr>
        <w:t>31.公寓节能产品安装使用成功体验案例</w:t>
      </w:r>
    </w:p>
    <w:p w:rsidR="00AC3CD0" w:rsidRPr="00913543" w:rsidRDefault="00AC3CD0" w:rsidP="00913543">
      <w:pPr>
        <w:widowControl/>
        <w:spacing w:line="240" w:lineRule="atLeast"/>
        <w:jc w:val="left"/>
        <w:rPr>
          <w:rFonts w:ascii="仿宋_GB2312" w:eastAsia="仿宋_GB2312" w:hAnsi="宋体"/>
          <w:sz w:val="30"/>
          <w:szCs w:val="30"/>
        </w:rPr>
      </w:pPr>
    </w:p>
    <w:sectPr w:rsidR="00AC3CD0" w:rsidRPr="009135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CD0" w:rsidRDefault="00AC3CD0" w:rsidP="00913543">
      <w:r>
        <w:separator/>
      </w:r>
    </w:p>
  </w:endnote>
  <w:endnote w:type="continuationSeparator" w:id="1">
    <w:p w:rsidR="00AC3CD0" w:rsidRDefault="00AC3CD0" w:rsidP="009135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CD0" w:rsidRDefault="00AC3CD0" w:rsidP="00913543">
      <w:r>
        <w:separator/>
      </w:r>
    </w:p>
  </w:footnote>
  <w:footnote w:type="continuationSeparator" w:id="1">
    <w:p w:rsidR="00AC3CD0" w:rsidRDefault="00AC3CD0" w:rsidP="009135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3543"/>
    <w:rsid w:val="00913543"/>
    <w:rsid w:val="00AC3C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5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35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3543"/>
    <w:rPr>
      <w:sz w:val="18"/>
      <w:szCs w:val="18"/>
    </w:rPr>
  </w:style>
  <w:style w:type="paragraph" w:styleId="a4">
    <w:name w:val="footer"/>
    <w:basedOn w:val="a"/>
    <w:link w:val="Char0"/>
    <w:uiPriority w:val="99"/>
    <w:semiHidden/>
    <w:unhideWhenUsed/>
    <w:rsid w:val="009135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135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微软中国</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2017-01-03T01:27:00Z</dcterms:created>
  <dcterms:modified xsi:type="dcterms:W3CDTF">2017-01-03T01:27:00Z</dcterms:modified>
</cp:coreProperties>
</file>